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00"/>
        <w:jc w:val="center"/>
      </w:pPr>
    </w:p>
    <w:p>
      <w:pPr>
        <w:spacing w:after="200"/>
        <w:jc w:val="center"/>
      </w:pPr>
      <w:r>
        <w:rPr>
          <w:rFonts w:ascii="Times New Roman" w:cs="Times New Roman" w:eastAsia="Times New Roman" w:hAnsi="Times New Roman"/>
          <w:b/>
          <w:bCs/>
          <w:sz w:val="48"/>
          <w:szCs w:val="48"/>
        </w:rPr>
        <w:t xml:space="preserve">DATA PROCESSING AGREEMENT</w:t>
      </w:r>
    </w:p>
    <w:p>
      <w:pPr>
        <w:spacing w:after="200"/>
        <w:jc w:val="center"/>
      </w:pPr>
      <w:r>
        <w:rPr>
          <w:rFonts w:ascii="Times New Roman" w:cs="Times New Roman" w:eastAsia="Times New Roman" w:hAnsi="Times New Roman"/>
          <w:sz w:val="36"/>
          <w:szCs w:val="36"/>
        </w:rPr>
        <w:t xml:space="preserve">Opslytica, Inc.</w:t>
      </w:r>
    </w:p>
    <w:p>
      <w:pPr>
        <w:spacing w:after="400"/>
        <w:jc w:val="center"/>
      </w:pPr>
      <w:r>
        <w:rPr>
          <w:rFonts w:ascii="Times New Roman" w:cs="Times New Roman" w:eastAsia="Times New Roman" w:hAnsi="Times New Roman"/>
          <w:color w:val="666666"/>
          <w:sz w:val="28"/>
          <w:szCs w:val="28"/>
        </w:rPr>
        <w:t xml:space="preserve">GDPR Compliance</w:t>
      </w:r>
    </w:p>
    <w:p>
      <w:pPr>
        <w:pBdr>
          <w:bottom w:val="single" w:color="2E75B6" w:sz="6" w:space="1"/>
        </w:pBdr>
        <w:spacing w:after="200"/>
        <w:jc w:val="center"/>
      </w:pPr>
    </w:p>
    <w:p>
      <w:pPr>
        <w:spacing w:before="4000"/>
        <w:jc w:val="center"/>
      </w:pPr>
      <w:r>
        <w:rPr>
          <w:rFonts w:ascii="Times New Roman" w:cs="Times New Roman" w:eastAsia="Times New Roman" w:hAnsi="Times New Roman"/>
          <w:color w:val="888888"/>
          <w:sz w:val="20"/>
          <w:szCs w:val="20"/>
        </w:rPr>
        <w:t xml:space="preserve">Template Version 1.0 | March 2026</w:t>
      </w:r>
    </w:p>
    <w:p>
      <w:pPr>
        <w:spacing w:after="100"/>
        <w:jc w:val="center"/>
      </w:pPr>
      <w:r>
        <w:rPr>
          <w:rFonts w:ascii="Times New Roman" w:cs="Times New Roman" w:eastAsia="Times New Roman" w:hAnsi="Times New Roman"/>
          <w:color w:val="888888"/>
          <w:sz w:val="20"/>
          <w:szCs w:val="20"/>
        </w:rPr>
        <w:t xml:space="preserve">security@opslytica.com</w:t>
      </w:r>
    </w:p>
    <w:p>
      <w:pPr>
        <w:sectPr>
          <w:pgSz w:w="12240" w:h="15840" w:orient="portrait"/>
          <w:pgMar w:top="1440" w:right="1440" w:bottom="1440" w:left="1440" w:header="708" w:footer="708" w:gutter="0"/>
          <w:pgNumType/>
          <w:docGrid w:linePitch="360"/>
        </w:sectPr>
      </w:pPr>
    </w:p>
    <w:p>
      <w:pPr>
        <w:spacing w:after="400"/>
        <w:jc w:val="center"/>
      </w:pPr>
      <w:r>
        <w:rPr>
          <w:rFonts w:ascii="Times New Roman" w:cs="Times New Roman" w:eastAsia="Times New Roman" w:hAnsi="Times New Roman"/>
          <w:b/>
          <w:bCs/>
          <w:sz w:val="32"/>
          <w:szCs w:val="32"/>
        </w:rPr>
        <w:t xml:space="preserve">DATA PROCESSING AGREEMENT</w:t>
      </w:r>
    </w:p>
    <w:p>
      <w:pPr>
        <w:spacing w:after="200"/>
        <w:jc w:val="both"/>
      </w:pPr>
      <w:r>
        <w:rPr>
          <w:rFonts w:ascii="Times New Roman" w:cs="Times New Roman" w:eastAsia="Times New Roman" w:hAnsi="Times New Roman"/>
          <w:b w:val="false"/>
          <w:bCs w:val="false"/>
          <w:i w:val="false"/>
          <w:iCs w:val="false"/>
          <w:sz w:val="24"/>
          <w:szCs w:val="24"/>
        </w:rPr>
        <w:t xml:space="preserve">This Data Processing Agreement (“DPA”) is entered into as of _________________ (“Effective Date”) by and between:</w:t>
      </w:r>
    </w:p>
    <w:p>
      <w:pPr>
        <w:spacing w:after="200"/>
        <w:ind w:left="720"/>
        <w:jc w:val="both"/>
      </w:pPr>
      <w:r>
        <w:rPr>
          <w:rFonts w:ascii="Times New Roman" w:cs="Times New Roman" w:eastAsia="Times New Roman" w:hAnsi="Times New Roman"/>
          <w:b w:val="false"/>
          <w:bCs w:val="false"/>
          <w:i w:val="false"/>
          <w:iCs w:val="false"/>
          <w:sz w:val="24"/>
          <w:szCs w:val="24"/>
        </w:rPr>
        <w:t xml:space="preserve">_________________________________ (“Data Controller” or “Controller”)</w:t>
      </w:r>
    </w:p>
    <w:p>
      <w:pPr>
        <w:spacing w:after="200"/>
        <w:ind w:left="720"/>
        <w:jc w:val="both"/>
      </w:pPr>
      <w:r>
        <w:rPr>
          <w:rFonts w:ascii="Times New Roman" w:cs="Times New Roman" w:eastAsia="Times New Roman" w:hAnsi="Times New Roman"/>
          <w:b w:val="false"/>
          <w:bCs w:val="false"/>
          <w:i w:val="false"/>
          <w:iCs w:val="false"/>
          <w:sz w:val="24"/>
          <w:szCs w:val="24"/>
        </w:rPr>
        <w:t xml:space="preserve">Address: _________________________________</w:t>
      </w:r>
    </w:p>
    <w:p>
      <w:pPr>
        <w:spacing w:after="200"/>
        <w:ind w:left="720"/>
        <w:jc w:val="both"/>
      </w:pPr>
      <w:r>
        <w:rPr>
          <w:rFonts w:ascii="Times New Roman" w:cs="Times New Roman" w:eastAsia="Times New Roman" w:hAnsi="Times New Roman"/>
          <w:b w:val="false"/>
          <w:bCs w:val="false"/>
          <w:i w:val="false"/>
          <w:iCs w:val="false"/>
          <w:sz w:val="24"/>
          <w:szCs w:val="24"/>
        </w:rPr>
        <w:t xml:space="preserve">City, State/Country, Postal Code: _________________________________</w:t>
      </w:r>
    </w:p>
    <w:p>
      <w:pPr>
        <w:spacing w:after="200"/>
      </w:pPr>
    </w:p>
    <w:p>
      <w:pPr>
        <w:spacing w:after="200"/>
        <w:ind w:left="720"/>
        <w:jc w:val="both"/>
      </w:pPr>
      <w:r>
        <w:rPr>
          <w:rFonts w:ascii="Times New Roman" w:cs="Times New Roman" w:eastAsia="Times New Roman" w:hAnsi="Times New Roman"/>
          <w:b w:val="false"/>
          <w:bCs w:val="false"/>
          <w:i w:val="false"/>
          <w:iCs w:val="false"/>
          <w:sz w:val="24"/>
          <w:szCs w:val="24"/>
        </w:rPr>
        <w:t xml:space="preserve">Opslytica, Inc. (“Data Processor” or “Processor”)</w:t>
      </w:r>
    </w:p>
    <w:p>
      <w:pPr>
        <w:spacing w:after="200"/>
        <w:ind w:left="720"/>
        <w:jc w:val="both"/>
      </w:pPr>
      <w:r>
        <w:rPr>
          <w:rFonts w:ascii="Times New Roman" w:cs="Times New Roman" w:eastAsia="Times New Roman" w:hAnsi="Times New Roman"/>
          <w:b w:val="false"/>
          <w:bCs w:val="false"/>
          <w:i w:val="false"/>
          <w:iCs w:val="false"/>
          <w:sz w:val="24"/>
          <w:szCs w:val="24"/>
        </w:rPr>
        <w:t xml:space="preserve">Email: security@opslytica.com</w:t>
      </w:r>
    </w:p>
    <w:p>
      <w:pPr>
        <w:spacing w:after="200"/>
      </w:pPr>
    </w:p>
    <w:p>
      <w:pPr>
        <w:spacing w:after="200"/>
        <w:jc w:val="both"/>
      </w:pPr>
      <w:r>
        <w:rPr>
          <w:rFonts w:ascii="Times New Roman" w:cs="Times New Roman" w:eastAsia="Times New Roman" w:hAnsi="Times New Roman"/>
          <w:b w:val="false"/>
          <w:bCs w:val="false"/>
          <w:i w:val="false"/>
          <w:iCs w:val="false"/>
          <w:sz w:val="24"/>
          <w:szCs w:val="24"/>
        </w:rPr>
        <w:t xml:space="preserve">This DPA is incorporated into and forms part of the underlying service agreement (“Principal Agreement”) between the Parties. This DPA is entered into pursuant to Article 28 of the General Data Protection Regulation (EU) 2016/679 (“GDPR”).</w:t>
      </w:r>
    </w:p>
    <w:p>
      <w:pPr>
        <w:pStyle w:val="Heading1"/>
        <w:spacing w:after="200" w:before="360"/>
      </w:pPr>
      <w:r>
        <w:rPr>
          <w:rFonts w:ascii="Times New Roman" w:cs="Times New Roman" w:eastAsia="Times New Roman" w:hAnsi="Times New Roman"/>
          <w:b/>
          <w:bCs/>
          <w:sz w:val="28"/>
          <w:szCs w:val="28"/>
        </w:rPr>
        <w:t xml:space="preserve">ARTICLE 1: DEFINITIONS</w:t>
      </w:r>
    </w:p>
    <w:p>
      <w:pPr>
        <w:spacing w:after="200"/>
        <w:jc w:val="both"/>
      </w:pPr>
      <w:r>
        <w:rPr>
          <w:rFonts w:ascii="Times New Roman" w:cs="Times New Roman" w:eastAsia="Times New Roman" w:hAnsi="Times New Roman"/>
          <w:b/>
          <w:bCs/>
          <w:sz w:val="24"/>
          <w:szCs w:val="24"/>
        </w:rPr>
        <w:t xml:space="preserve">1.1 </w:t>
      </w:r>
      <w:r>
        <w:rPr>
          <w:rFonts w:ascii="Times New Roman" w:cs="Times New Roman" w:eastAsia="Times New Roman" w:hAnsi="Times New Roman"/>
          <w:sz w:val="24"/>
          <w:szCs w:val="24"/>
        </w:rPr>
        <w:t xml:space="preserve">“Personal Data” means any information relating to an identified or identifiable natural person, as defined in Article 4(1) of the GDPR.</w:t>
      </w:r>
    </w:p>
    <w:p>
      <w:pPr>
        <w:spacing w:after="200"/>
        <w:jc w:val="both"/>
      </w:pPr>
      <w:r>
        <w:rPr>
          <w:rFonts w:ascii="Times New Roman" w:cs="Times New Roman" w:eastAsia="Times New Roman" w:hAnsi="Times New Roman"/>
          <w:b/>
          <w:bCs/>
          <w:sz w:val="24"/>
          <w:szCs w:val="24"/>
        </w:rPr>
        <w:t xml:space="preserve">1.2 </w:t>
      </w:r>
      <w:r>
        <w:rPr>
          <w:rFonts w:ascii="Times New Roman" w:cs="Times New Roman" w:eastAsia="Times New Roman" w:hAnsi="Times New Roman"/>
          <w:sz w:val="24"/>
          <w:szCs w:val="24"/>
        </w:rPr>
        <w:t xml:space="preserve">“Processing” means any operation or set of operations performed on Personal Data, as defined in Article 4(2) of the GDPR.</w:t>
      </w:r>
    </w:p>
    <w:p>
      <w:pPr>
        <w:spacing w:after="200"/>
        <w:jc w:val="both"/>
      </w:pPr>
      <w:r>
        <w:rPr>
          <w:rFonts w:ascii="Times New Roman" w:cs="Times New Roman" w:eastAsia="Times New Roman" w:hAnsi="Times New Roman"/>
          <w:b/>
          <w:bCs/>
          <w:sz w:val="24"/>
          <w:szCs w:val="24"/>
        </w:rPr>
        <w:t xml:space="preserve">1.3 </w:t>
      </w:r>
      <w:r>
        <w:rPr>
          <w:rFonts w:ascii="Times New Roman" w:cs="Times New Roman" w:eastAsia="Times New Roman" w:hAnsi="Times New Roman"/>
          <w:sz w:val="24"/>
          <w:szCs w:val="24"/>
        </w:rPr>
        <w:t xml:space="preserve">“Data Controller” means the entity which determines the purposes and means of the Processing of Personal Data.</w:t>
      </w:r>
    </w:p>
    <w:p>
      <w:pPr>
        <w:spacing w:after="200"/>
        <w:jc w:val="both"/>
      </w:pPr>
      <w:r>
        <w:rPr>
          <w:rFonts w:ascii="Times New Roman" w:cs="Times New Roman" w:eastAsia="Times New Roman" w:hAnsi="Times New Roman"/>
          <w:b/>
          <w:bCs/>
          <w:sz w:val="24"/>
          <w:szCs w:val="24"/>
        </w:rPr>
        <w:t xml:space="preserve">1.4 </w:t>
      </w:r>
      <w:r>
        <w:rPr>
          <w:rFonts w:ascii="Times New Roman" w:cs="Times New Roman" w:eastAsia="Times New Roman" w:hAnsi="Times New Roman"/>
          <w:sz w:val="24"/>
          <w:szCs w:val="24"/>
        </w:rPr>
        <w:t xml:space="preserve">“Data Processor” means the entity which processes Personal Data on behalf of the Controller.</w:t>
      </w:r>
    </w:p>
    <w:p>
      <w:pPr>
        <w:spacing w:after="200"/>
        <w:jc w:val="both"/>
      </w:pPr>
      <w:r>
        <w:rPr>
          <w:rFonts w:ascii="Times New Roman" w:cs="Times New Roman" w:eastAsia="Times New Roman" w:hAnsi="Times New Roman"/>
          <w:b/>
          <w:bCs/>
          <w:sz w:val="24"/>
          <w:szCs w:val="24"/>
        </w:rPr>
        <w:t xml:space="preserve">1.5 </w:t>
      </w:r>
      <w:r>
        <w:rPr>
          <w:rFonts w:ascii="Times New Roman" w:cs="Times New Roman" w:eastAsia="Times New Roman" w:hAnsi="Times New Roman"/>
          <w:sz w:val="24"/>
          <w:szCs w:val="24"/>
        </w:rPr>
        <w:t xml:space="preserve">“Sub-processor” means any third party engaged by the Processor to process Personal Data on behalf of the Controller.</w:t>
      </w:r>
    </w:p>
    <w:p>
      <w:pPr>
        <w:spacing w:after="200"/>
        <w:jc w:val="both"/>
      </w:pPr>
      <w:r>
        <w:rPr>
          <w:rFonts w:ascii="Times New Roman" w:cs="Times New Roman" w:eastAsia="Times New Roman" w:hAnsi="Times New Roman"/>
          <w:b/>
          <w:bCs/>
          <w:sz w:val="24"/>
          <w:szCs w:val="24"/>
        </w:rPr>
        <w:t xml:space="preserve">1.6 </w:t>
      </w:r>
      <w:r>
        <w:rPr>
          <w:rFonts w:ascii="Times New Roman" w:cs="Times New Roman" w:eastAsia="Times New Roman" w:hAnsi="Times New Roman"/>
          <w:sz w:val="24"/>
          <w:szCs w:val="24"/>
        </w:rPr>
        <w:t xml:space="preserve">“Data Subject” means an identified or identifiable natural person to whom Personal Data relates.</w:t>
      </w:r>
    </w:p>
    <w:p>
      <w:pPr>
        <w:spacing w:after="200"/>
        <w:jc w:val="both"/>
      </w:pPr>
      <w:r>
        <w:rPr>
          <w:rFonts w:ascii="Times New Roman" w:cs="Times New Roman" w:eastAsia="Times New Roman" w:hAnsi="Times New Roman"/>
          <w:b/>
          <w:bCs/>
          <w:sz w:val="24"/>
          <w:szCs w:val="24"/>
        </w:rPr>
        <w:t xml:space="preserve">1.7 </w:t>
      </w:r>
      <w:r>
        <w:rPr>
          <w:rFonts w:ascii="Times New Roman" w:cs="Times New Roman" w:eastAsia="Times New Roman" w:hAnsi="Times New Roman"/>
          <w:sz w:val="24"/>
          <w:szCs w:val="24"/>
        </w:rPr>
        <w:t xml:space="preserve">“Personal Data Breach” means a breach of security leading to the accidental or unlawful destruction, loss, alteration, unauthorized disclosure of, or access to, Personal Data.</w:t>
      </w:r>
    </w:p>
    <w:p>
      <w:pPr>
        <w:spacing w:after="200"/>
        <w:jc w:val="both"/>
      </w:pPr>
      <w:r>
        <w:rPr>
          <w:rFonts w:ascii="Times New Roman" w:cs="Times New Roman" w:eastAsia="Times New Roman" w:hAnsi="Times New Roman"/>
          <w:b/>
          <w:bCs/>
          <w:sz w:val="24"/>
          <w:szCs w:val="24"/>
        </w:rPr>
        <w:t xml:space="preserve">1.8 </w:t>
      </w:r>
      <w:r>
        <w:rPr>
          <w:rFonts w:ascii="Times New Roman" w:cs="Times New Roman" w:eastAsia="Times New Roman" w:hAnsi="Times New Roman"/>
          <w:sz w:val="24"/>
          <w:szCs w:val="24"/>
        </w:rPr>
        <w:t xml:space="preserve">“Supervisory Authority” means an independent public authority established by an EU Member State pursuant to Article 51 of the GDPR.</w:t>
      </w:r>
    </w:p>
    <w:p>
      <w:pPr>
        <w:pStyle w:val="Heading1"/>
        <w:spacing w:after="200" w:before="360"/>
      </w:pPr>
      <w:r>
        <w:rPr>
          <w:rFonts w:ascii="Times New Roman" w:cs="Times New Roman" w:eastAsia="Times New Roman" w:hAnsi="Times New Roman"/>
          <w:b/>
          <w:bCs/>
          <w:sz w:val="28"/>
          <w:szCs w:val="28"/>
        </w:rPr>
        <w:t xml:space="preserve">ARTICLE 2: SCOPE AND PURPOSE OF PROCESSING</w:t>
      </w:r>
    </w:p>
    <w:p>
      <w:pPr>
        <w:spacing w:after="200"/>
        <w:jc w:val="both"/>
      </w:pPr>
      <w:r>
        <w:rPr>
          <w:rFonts w:ascii="Times New Roman" w:cs="Times New Roman" w:eastAsia="Times New Roman" w:hAnsi="Times New Roman"/>
          <w:b/>
          <w:bCs/>
          <w:sz w:val="24"/>
          <w:szCs w:val="24"/>
        </w:rPr>
        <w:t xml:space="preserve">2.1 </w:t>
      </w:r>
      <w:r>
        <w:rPr>
          <w:rFonts w:ascii="Times New Roman" w:cs="Times New Roman" w:eastAsia="Times New Roman" w:hAnsi="Times New Roman"/>
          <w:sz w:val="24"/>
          <w:szCs w:val="24"/>
        </w:rPr>
        <w:t xml:space="preserve">The Processor shall process Personal Data only on documented instructions from the Controller, including with regard to transfers of Personal Data to a third country or an international organization, unless required to do so by Union or Member State law.</w:t>
      </w:r>
    </w:p>
    <w:p>
      <w:pPr>
        <w:spacing w:after="200"/>
        <w:jc w:val="both"/>
      </w:pPr>
      <w:r>
        <w:rPr>
          <w:rFonts w:ascii="Times New Roman" w:cs="Times New Roman" w:eastAsia="Times New Roman" w:hAnsi="Times New Roman"/>
          <w:b/>
          <w:bCs/>
          <w:sz w:val="24"/>
          <w:szCs w:val="24"/>
        </w:rPr>
        <w:t xml:space="preserve">2.2 </w:t>
      </w:r>
      <w:r>
        <w:rPr>
          <w:rFonts w:ascii="Times New Roman" w:cs="Times New Roman" w:eastAsia="Times New Roman" w:hAnsi="Times New Roman"/>
          <w:sz w:val="24"/>
          <w:szCs w:val="24"/>
        </w:rPr>
        <w:t xml:space="preserve">The subject matter, duration, nature, and purpose of the Processing, the types of Personal Data, and categories of Data Subjects are described in Annex 1 to this DPA.</w:t>
      </w:r>
    </w:p>
    <w:p>
      <w:pPr>
        <w:spacing w:after="200"/>
        <w:jc w:val="both"/>
      </w:pPr>
      <w:r>
        <w:rPr>
          <w:rFonts w:ascii="Times New Roman" w:cs="Times New Roman" w:eastAsia="Times New Roman" w:hAnsi="Times New Roman"/>
          <w:b/>
          <w:bCs/>
          <w:sz w:val="24"/>
          <w:szCs w:val="24"/>
        </w:rPr>
        <w:t xml:space="preserve">2.3 </w:t>
      </w:r>
      <w:r>
        <w:rPr>
          <w:rFonts w:ascii="Times New Roman" w:cs="Times New Roman" w:eastAsia="Times New Roman" w:hAnsi="Times New Roman"/>
          <w:sz w:val="24"/>
          <w:szCs w:val="24"/>
        </w:rPr>
        <w:t xml:space="preserve">The Processor shall immediately inform the Controller if, in its opinion, an instruction infringes the GDPR or other Union or Member State data protection provisions.</w:t>
      </w:r>
    </w:p>
    <w:p>
      <w:pPr>
        <w:pStyle w:val="Heading1"/>
        <w:spacing w:after="200" w:before="360"/>
      </w:pPr>
      <w:r>
        <w:rPr>
          <w:rFonts w:ascii="Times New Roman" w:cs="Times New Roman" w:eastAsia="Times New Roman" w:hAnsi="Times New Roman"/>
          <w:b/>
          <w:bCs/>
          <w:sz w:val="28"/>
          <w:szCs w:val="28"/>
        </w:rPr>
        <w:t xml:space="preserve">ARTICLE 3: OBLIGATIONS OF THE PROCESSOR</w:t>
      </w:r>
    </w:p>
    <w:p>
      <w:pPr>
        <w:spacing w:after="200"/>
        <w:jc w:val="both"/>
      </w:pPr>
      <w:r>
        <w:rPr>
          <w:rFonts w:ascii="Times New Roman" w:cs="Times New Roman" w:eastAsia="Times New Roman" w:hAnsi="Times New Roman"/>
          <w:b/>
          <w:bCs/>
          <w:sz w:val="24"/>
          <w:szCs w:val="24"/>
        </w:rPr>
        <w:t xml:space="preserve">3.1 </w:t>
      </w:r>
      <w:r>
        <w:rPr>
          <w:rFonts w:ascii="Times New Roman" w:cs="Times New Roman" w:eastAsia="Times New Roman" w:hAnsi="Times New Roman"/>
          <w:b/>
          <w:bCs/>
          <w:sz w:val="24"/>
          <w:szCs w:val="24"/>
        </w:rPr>
        <w:t xml:space="preserve">Confidentiality. </w:t>
      </w:r>
      <w:r>
        <w:rPr>
          <w:rFonts w:ascii="Times New Roman" w:cs="Times New Roman" w:eastAsia="Times New Roman" w:hAnsi="Times New Roman"/>
          <w:sz w:val="24"/>
          <w:szCs w:val="24"/>
        </w:rPr>
        <w:t xml:space="preserve">The Processor shall ensure that persons authorized to process Personal Data have committed themselves to confidentiality or are under an appropriate statutory obligation of confidentiality.</w:t>
      </w:r>
    </w:p>
    <w:p>
      <w:pPr>
        <w:spacing w:after="200"/>
        <w:jc w:val="both"/>
      </w:pPr>
      <w:r>
        <w:rPr>
          <w:rFonts w:ascii="Times New Roman" w:cs="Times New Roman" w:eastAsia="Times New Roman" w:hAnsi="Times New Roman"/>
          <w:b/>
          <w:bCs/>
          <w:sz w:val="24"/>
          <w:szCs w:val="24"/>
        </w:rPr>
        <w:t xml:space="preserve">3.2 </w:t>
      </w:r>
      <w:r>
        <w:rPr>
          <w:rFonts w:ascii="Times New Roman" w:cs="Times New Roman" w:eastAsia="Times New Roman" w:hAnsi="Times New Roman"/>
          <w:b/>
          <w:bCs/>
          <w:sz w:val="24"/>
          <w:szCs w:val="24"/>
        </w:rPr>
        <w:t xml:space="preserve">Security Measures. </w:t>
      </w:r>
      <w:r>
        <w:rPr>
          <w:rFonts w:ascii="Times New Roman" w:cs="Times New Roman" w:eastAsia="Times New Roman" w:hAnsi="Times New Roman"/>
          <w:sz w:val="24"/>
          <w:szCs w:val="24"/>
        </w:rPr>
        <w:t xml:space="preserve">The Processor shall implement appropriate technical and organizational measures to ensure a level of security appropriate to the risk, as described in Annex 2 to this DPA. These measures include, as appropriate: (a) the pseudonymization and encryption of Personal Data; (b) the ability to ensure the ongoing confidentiality, integrity, availability and resilience of processing systems; (c) the ability to restore the availability and access to Personal Data in a timely manner in the event of a physical or technical incident; and (d) a process for regularly testing, assessing, and evaluating the effectiveness of technical and organizational measures.</w:t>
      </w:r>
    </w:p>
    <w:p>
      <w:pPr>
        <w:spacing w:after="200"/>
        <w:jc w:val="both"/>
      </w:pPr>
      <w:r>
        <w:rPr>
          <w:rFonts w:ascii="Times New Roman" w:cs="Times New Roman" w:eastAsia="Times New Roman" w:hAnsi="Times New Roman"/>
          <w:b/>
          <w:bCs/>
          <w:sz w:val="24"/>
          <w:szCs w:val="24"/>
        </w:rPr>
        <w:t xml:space="preserve">3.3 </w:t>
      </w:r>
      <w:r>
        <w:rPr>
          <w:rFonts w:ascii="Times New Roman" w:cs="Times New Roman" w:eastAsia="Times New Roman" w:hAnsi="Times New Roman"/>
          <w:b/>
          <w:bCs/>
          <w:sz w:val="24"/>
          <w:szCs w:val="24"/>
        </w:rPr>
        <w:t xml:space="preserve">Sub-processors. </w:t>
      </w:r>
      <w:r>
        <w:rPr>
          <w:rFonts w:ascii="Times New Roman" w:cs="Times New Roman" w:eastAsia="Times New Roman" w:hAnsi="Times New Roman"/>
          <w:sz w:val="24"/>
          <w:szCs w:val="24"/>
        </w:rPr>
        <w:t xml:space="preserve">The Processor shall not engage another processor without prior specific or general written authorization of the Controller. In the case of general written authorization, the Processor shall inform the Controller of any intended changes concerning the addition or replacement of sub-processors, giving the Controller the opportunity to object to such changes. The current list of sub-processors is set forth in Annex 3.</w:t>
      </w:r>
    </w:p>
    <w:p>
      <w:pPr>
        <w:spacing w:after="200"/>
        <w:jc w:val="both"/>
      </w:pPr>
      <w:r>
        <w:rPr>
          <w:rFonts w:ascii="Times New Roman" w:cs="Times New Roman" w:eastAsia="Times New Roman" w:hAnsi="Times New Roman"/>
          <w:b/>
          <w:bCs/>
          <w:sz w:val="24"/>
          <w:szCs w:val="24"/>
        </w:rPr>
        <w:t xml:space="preserve">3.4 </w:t>
      </w:r>
      <w:r>
        <w:rPr>
          <w:rFonts w:ascii="Times New Roman" w:cs="Times New Roman" w:eastAsia="Times New Roman" w:hAnsi="Times New Roman"/>
          <w:b/>
          <w:bCs/>
          <w:sz w:val="24"/>
          <w:szCs w:val="24"/>
        </w:rPr>
        <w:t xml:space="preserve">Sub-processor Obligations. </w:t>
      </w:r>
      <w:r>
        <w:rPr>
          <w:rFonts w:ascii="Times New Roman" w:cs="Times New Roman" w:eastAsia="Times New Roman" w:hAnsi="Times New Roman"/>
          <w:sz w:val="24"/>
          <w:szCs w:val="24"/>
        </w:rPr>
        <w:t xml:space="preserve">Where the Processor engages a sub-processor, the Processor shall impose on the sub-processor the same data protection obligations as set out in this DPA by way of a contract, in particular providing sufficient guarantees to implement appropriate technical and organizational measures.</w:t>
      </w:r>
    </w:p>
    <w:p>
      <w:pPr>
        <w:spacing w:after="200"/>
        <w:jc w:val="both"/>
      </w:pPr>
      <w:r>
        <w:rPr>
          <w:rFonts w:ascii="Times New Roman" w:cs="Times New Roman" w:eastAsia="Times New Roman" w:hAnsi="Times New Roman"/>
          <w:b/>
          <w:bCs/>
          <w:sz w:val="24"/>
          <w:szCs w:val="24"/>
        </w:rPr>
        <w:t xml:space="preserve">3.5 </w:t>
      </w:r>
      <w:r>
        <w:rPr>
          <w:rFonts w:ascii="Times New Roman" w:cs="Times New Roman" w:eastAsia="Times New Roman" w:hAnsi="Times New Roman"/>
          <w:b/>
          <w:bCs/>
          <w:sz w:val="24"/>
          <w:szCs w:val="24"/>
        </w:rPr>
        <w:t xml:space="preserve">Data Subject Rights. </w:t>
      </w:r>
      <w:r>
        <w:rPr>
          <w:rFonts w:ascii="Times New Roman" w:cs="Times New Roman" w:eastAsia="Times New Roman" w:hAnsi="Times New Roman"/>
          <w:sz w:val="24"/>
          <w:szCs w:val="24"/>
        </w:rPr>
        <w:t xml:space="preserve">The Processor shall assist the Controller by appropriate technical and organizational measures, insofar as possible, for the fulfillment of the Controller’s obligation to respond to requests for exercising Data Subject rights under the GDPR (access, rectification, erasure, restriction, portability, objection).</w:t>
      </w:r>
    </w:p>
    <w:p>
      <w:pPr>
        <w:spacing w:after="200"/>
        <w:jc w:val="both"/>
      </w:pPr>
      <w:r>
        <w:rPr>
          <w:rFonts w:ascii="Times New Roman" w:cs="Times New Roman" w:eastAsia="Times New Roman" w:hAnsi="Times New Roman"/>
          <w:b/>
          <w:bCs/>
          <w:sz w:val="24"/>
          <w:szCs w:val="24"/>
        </w:rPr>
        <w:t xml:space="preserve">3.6 </w:t>
      </w:r>
      <w:r>
        <w:rPr>
          <w:rFonts w:ascii="Times New Roman" w:cs="Times New Roman" w:eastAsia="Times New Roman" w:hAnsi="Times New Roman"/>
          <w:b/>
          <w:bCs/>
          <w:sz w:val="24"/>
          <w:szCs w:val="24"/>
        </w:rPr>
        <w:t xml:space="preserve">Assistance with Obligations. </w:t>
      </w:r>
      <w:r>
        <w:rPr>
          <w:rFonts w:ascii="Times New Roman" w:cs="Times New Roman" w:eastAsia="Times New Roman" w:hAnsi="Times New Roman"/>
          <w:sz w:val="24"/>
          <w:szCs w:val="24"/>
        </w:rPr>
        <w:t xml:space="preserve">The Processor shall assist the Controller in ensuring compliance with the obligations pursuant to Articles 32 to 36 of the GDPR, taking into account the nature of processing and the information available to the Processor.</w:t>
      </w:r>
    </w:p>
    <w:p>
      <w:pPr>
        <w:spacing w:after="200"/>
        <w:jc w:val="both"/>
      </w:pPr>
      <w:r>
        <w:rPr>
          <w:rFonts w:ascii="Times New Roman" w:cs="Times New Roman" w:eastAsia="Times New Roman" w:hAnsi="Times New Roman"/>
          <w:b/>
          <w:bCs/>
          <w:sz w:val="24"/>
          <w:szCs w:val="24"/>
        </w:rPr>
        <w:t xml:space="preserve">3.7 </w:t>
      </w:r>
      <w:r>
        <w:rPr>
          <w:rFonts w:ascii="Times New Roman" w:cs="Times New Roman" w:eastAsia="Times New Roman" w:hAnsi="Times New Roman"/>
          <w:b/>
          <w:bCs/>
          <w:sz w:val="24"/>
          <w:szCs w:val="24"/>
        </w:rPr>
        <w:t xml:space="preserve">Deletion or Return. </w:t>
      </w:r>
      <w:r>
        <w:rPr>
          <w:rFonts w:ascii="Times New Roman" w:cs="Times New Roman" w:eastAsia="Times New Roman" w:hAnsi="Times New Roman"/>
          <w:sz w:val="24"/>
          <w:szCs w:val="24"/>
        </w:rPr>
        <w:t xml:space="preserve">At the choice of the Controller, the Processor shall delete or return all Personal Data to the Controller after the end of the provision of services, and delete existing copies unless Union or Member State law requires storage of the Personal Data.</w:t>
      </w:r>
    </w:p>
    <w:p>
      <w:pPr>
        <w:spacing w:after="200"/>
        <w:jc w:val="both"/>
      </w:pPr>
      <w:r>
        <w:rPr>
          <w:rFonts w:ascii="Times New Roman" w:cs="Times New Roman" w:eastAsia="Times New Roman" w:hAnsi="Times New Roman"/>
          <w:b/>
          <w:bCs/>
          <w:sz w:val="24"/>
          <w:szCs w:val="24"/>
        </w:rPr>
        <w:t xml:space="preserve">3.8 </w:t>
      </w:r>
      <w:r>
        <w:rPr>
          <w:rFonts w:ascii="Times New Roman" w:cs="Times New Roman" w:eastAsia="Times New Roman" w:hAnsi="Times New Roman"/>
          <w:b/>
          <w:bCs/>
          <w:sz w:val="24"/>
          <w:szCs w:val="24"/>
        </w:rPr>
        <w:t xml:space="preserve">Audit Rights. </w:t>
      </w:r>
      <w:r>
        <w:rPr>
          <w:rFonts w:ascii="Times New Roman" w:cs="Times New Roman" w:eastAsia="Times New Roman" w:hAnsi="Times New Roman"/>
          <w:sz w:val="24"/>
          <w:szCs w:val="24"/>
        </w:rPr>
        <w:t xml:space="preserve">The Processor shall make available to the Controller all information necessary to demonstrate compliance with the obligations laid down in Article 28 of the GDPR and allow for and contribute to audits, including inspections, conducted by the Controller or another auditor mandated by the Controller.</w:t>
      </w:r>
    </w:p>
    <w:p>
      <w:pPr>
        <w:pStyle w:val="Heading1"/>
        <w:spacing w:after="200" w:before="360"/>
      </w:pPr>
      <w:r>
        <w:rPr>
          <w:rFonts w:ascii="Times New Roman" w:cs="Times New Roman" w:eastAsia="Times New Roman" w:hAnsi="Times New Roman"/>
          <w:b/>
          <w:bCs/>
          <w:sz w:val="28"/>
          <w:szCs w:val="28"/>
        </w:rPr>
        <w:t xml:space="preserve">ARTICLE 4: DATA BREACH NOTIFICATION</w:t>
      </w:r>
    </w:p>
    <w:p>
      <w:pPr>
        <w:spacing w:after="200"/>
        <w:jc w:val="both"/>
      </w:pPr>
      <w:r>
        <w:rPr>
          <w:rFonts w:ascii="Times New Roman" w:cs="Times New Roman" w:eastAsia="Times New Roman" w:hAnsi="Times New Roman"/>
          <w:b/>
          <w:bCs/>
          <w:sz w:val="24"/>
          <w:szCs w:val="24"/>
        </w:rPr>
        <w:t xml:space="preserve">4.1 </w:t>
      </w:r>
      <w:r>
        <w:rPr>
          <w:rFonts w:ascii="Times New Roman" w:cs="Times New Roman" w:eastAsia="Times New Roman" w:hAnsi="Times New Roman"/>
          <w:sz w:val="24"/>
          <w:szCs w:val="24"/>
        </w:rPr>
        <w:t xml:space="preserve">The Processor shall notify the Controller without undue delay after becoming aware of a Personal Data Breach. Such notification shall, at minimum, include: (a) a description of the nature of the breach; (b) the categories and approximate number of Data Subjects and Personal Data records concerned; (c) the likely consequences of the breach; and (d) the measures taken or proposed to address the breach.</w:t>
      </w:r>
    </w:p>
    <w:p>
      <w:pPr>
        <w:spacing w:after="200"/>
        <w:jc w:val="both"/>
      </w:pPr>
      <w:r>
        <w:rPr>
          <w:rFonts w:ascii="Times New Roman" w:cs="Times New Roman" w:eastAsia="Times New Roman" w:hAnsi="Times New Roman"/>
          <w:b/>
          <w:bCs/>
          <w:sz w:val="24"/>
          <w:szCs w:val="24"/>
        </w:rPr>
        <w:t xml:space="preserve">4.2 </w:t>
      </w:r>
      <w:r>
        <w:rPr>
          <w:rFonts w:ascii="Times New Roman" w:cs="Times New Roman" w:eastAsia="Times New Roman" w:hAnsi="Times New Roman"/>
          <w:sz w:val="24"/>
          <w:szCs w:val="24"/>
        </w:rPr>
        <w:t xml:space="preserve">The Processor shall provide notification within seventy-two (72) hours of becoming aware of a Personal Data Breach, to enable the Controller to comply with its notification obligations under Article 33 of the GDPR.</w:t>
      </w:r>
    </w:p>
    <w:p>
      <w:pPr>
        <w:spacing w:after="200"/>
        <w:jc w:val="both"/>
      </w:pPr>
      <w:r>
        <w:rPr>
          <w:rFonts w:ascii="Times New Roman" w:cs="Times New Roman" w:eastAsia="Times New Roman" w:hAnsi="Times New Roman"/>
          <w:b/>
          <w:bCs/>
          <w:sz w:val="24"/>
          <w:szCs w:val="24"/>
        </w:rPr>
        <w:t xml:space="preserve">4.3 </w:t>
      </w:r>
      <w:r>
        <w:rPr>
          <w:rFonts w:ascii="Times New Roman" w:cs="Times New Roman" w:eastAsia="Times New Roman" w:hAnsi="Times New Roman"/>
          <w:sz w:val="24"/>
          <w:szCs w:val="24"/>
        </w:rPr>
        <w:t xml:space="preserve">The Processor shall cooperate with and assist the Controller in investigating and remediating any Personal Data Breach and in fulfilling the Controller’s obligations under Articles 33 and 34 of the GDPR.</w:t>
      </w:r>
    </w:p>
    <w:p>
      <w:pPr>
        <w:pStyle w:val="Heading1"/>
        <w:spacing w:after="200" w:before="360"/>
      </w:pPr>
      <w:r>
        <w:rPr>
          <w:rFonts w:ascii="Times New Roman" w:cs="Times New Roman" w:eastAsia="Times New Roman" w:hAnsi="Times New Roman"/>
          <w:b/>
          <w:bCs/>
          <w:sz w:val="28"/>
          <w:szCs w:val="28"/>
        </w:rPr>
        <w:t xml:space="preserve">ARTICLE 5: INTERNATIONAL DATA TRANSFERS</w:t>
      </w:r>
    </w:p>
    <w:p>
      <w:pPr>
        <w:spacing w:after="200"/>
        <w:jc w:val="both"/>
      </w:pPr>
      <w:r>
        <w:rPr>
          <w:rFonts w:ascii="Times New Roman" w:cs="Times New Roman" w:eastAsia="Times New Roman" w:hAnsi="Times New Roman"/>
          <w:b/>
          <w:bCs/>
          <w:sz w:val="24"/>
          <w:szCs w:val="24"/>
        </w:rPr>
        <w:t xml:space="preserve">5.1 </w:t>
      </w:r>
      <w:r>
        <w:rPr>
          <w:rFonts w:ascii="Times New Roman" w:cs="Times New Roman" w:eastAsia="Times New Roman" w:hAnsi="Times New Roman"/>
          <w:sz w:val="24"/>
          <w:szCs w:val="24"/>
        </w:rPr>
        <w:t xml:space="preserve">The Processor shall not transfer Personal Data to a third country or international organization unless: (a) the transfer is to a country with an adequate level of protection as determined by the European Commission; (b) appropriate safeguards are in place, including Standard Contractual Clauses approved by the European Commission; or (c) the Controller has provided explicit prior written consent.</w:t>
      </w:r>
    </w:p>
    <w:p>
      <w:pPr>
        <w:spacing w:after="200"/>
        <w:jc w:val="both"/>
      </w:pPr>
      <w:r>
        <w:rPr>
          <w:rFonts w:ascii="Times New Roman" w:cs="Times New Roman" w:eastAsia="Times New Roman" w:hAnsi="Times New Roman"/>
          <w:b/>
          <w:bCs/>
          <w:sz w:val="24"/>
          <w:szCs w:val="24"/>
        </w:rPr>
        <w:t xml:space="preserve">5.2 </w:t>
      </w:r>
      <w:r>
        <w:rPr>
          <w:rFonts w:ascii="Times New Roman" w:cs="Times New Roman" w:eastAsia="Times New Roman" w:hAnsi="Times New Roman"/>
          <w:sz w:val="24"/>
          <w:szCs w:val="24"/>
        </w:rPr>
        <w:t xml:space="preserve">Where transfers are made based on Standard Contractual Clauses, the Parties agree to execute the Standard Contractual Clauses (Module Two: Controller to Processor) as adopted by the European Commission, which are hereby incorporated by reference.</w:t>
      </w:r>
    </w:p>
    <w:p>
      <w:pPr>
        <w:spacing w:after="200"/>
        <w:jc w:val="both"/>
      </w:pPr>
      <w:r>
        <w:rPr>
          <w:rFonts w:ascii="Times New Roman" w:cs="Times New Roman" w:eastAsia="Times New Roman" w:hAnsi="Times New Roman"/>
          <w:b/>
          <w:bCs/>
          <w:sz w:val="24"/>
          <w:szCs w:val="24"/>
        </w:rPr>
        <w:t xml:space="preserve">5.3 </w:t>
      </w:r>
      <w:r>
        <w:rPr>
          <w:rFonts w:ascii="Times New Roman" w:cs="Times New Roman" w:eastAsia="Times New Roman" w:hAnsi="Times New Roman"/>
          <w:sz w:val="24"/>
          <w:szCs w:val="24"/>
        </w:rPr>
        <w:t xml:space="preserve">The Processor currently hosts all data on Microsoft Azure. Data residency may be configured per customer requirements.</w:t>
      </w:r>
    </w:p>
    <w:p>
      <w:pPr>
        <w:pStyle w:val="Heading1"/>
        <w:spacing w:after="200" w:before="360"/>
      </w:pPr>
      <w:r>
        <w:rPr>
          <w:rFonts w:ascii="Times New Roman" w:cs="Times New Roman" w:eastAsia="Times New Roman" w:hAnsi="Times New Roman"/>
          <w:b/>
          <w:bCs/>
          <w:sz w:val="28"/>
          <w:szCs w:val="28"/>
        </w:rPr>
        <w:t xml:space="preserve">ARTICLE 6: AUDIT RIGHTS</w:t>
      </w:r>
    </w:p>
    <w:p>
      <w:pPr>
        <w:spacing w:after="200"/>
        <w:jc w:val="both"/>
      </w:pPr>
      <w:r>
        <w:rPr>
          <w:rFonts w:ascii="Times New Roman" w:cs="Times New Roman" w:eastAsia="Times New Roman" w:hAnsi="Times New Roman"/>
          <w:b/>
          <w:bCs/>
          <w:sz w:val="24"/>
          <w:szCs w:val="24"/>
        </w:rPr>
        <w:t xml:space="preserve">6.1 </w:t>
      </w:r>
      <w:r>
        <w:rPr>
          <w:rFonts w:ascii="Times New Roman" w:cs="Times New Roman" w:eastAsia="Times New Roman" w:hAnsi="Times New Roman"/>
          <w:sz w:val="24"/>
          <w:szCs w:val="24"/>
        </w:rPr>
        <w:t xml:space="preserve">The Controller may audit the Processor’s compliance with this DPA up to once per year, with reasonable advance notice of at least thirty (30) days, during normal business hours, and subject to reasonable confidentiality obligations.</w:t>
      </w:r>
    </w:p>
    <w:p>
      <w:pPr>
        <w:spacing w:after="200"/>
        <w:jc w:val="both"/>
      </w:pPr>
      <w:r>
        <w:rPr>
          <w:rFonts w:ascii="Times New Roman" w:cs="Times New Roman" w:eastAsia="Times New Roman" w:hAnsi="Times New Roman"/>
          <w:b/>
          <w:bCs/>
          <w:sz w:val="24"/>
          <w:szCs w:val="24"/>
        </w:rPr>
        <w:t xml:space="preserve">6.2 </w:t>
      </w:r>
      <w:r>
        <w:rPr>
          <w:rFonts w:ascii="Times New Roman" w:cs="Times New Roman" w:eastAsia="Times New Roman" w:hAnsi="Times New Roman"/>
          <w:sz w:val="24"/>
          <w:szCs w:val="24"/>
        </w:rPr>
        <w:t xml:space="preserve">The Processor’s SOC 2 Type II report, penetration test summary, and responses to standard security questionnaires may satisfy audit requirements without an on-site inspection.</w:t>
      </w:r>
    </w:p>
    <w:p>
      <w:pPr>
        <w:spacing w:after="200"/>
        <w:jc w:val="both"/>
      </w:pPr>
      <w:r>
        <w:rPr>
          <w:rFonts w:ascii="Times New Roman" w:cs="Times New Roman" w:eastAsia="Times New Roman" w:hAnsi="Times New Roman"/>
          <w:b/>
          <w:bCs/>
          <w:sz w:val="24"/>
          <w:szCs w:val="24"/>
        </w:rPr>
        <w:t xml:space="preserve">6.3 </w:t>
      </w:r>
      <w:r>
        <w:rPr>
          <w:rFonts w:ascii="Times New Roman" w:cs="Times New Roman" w:eastAsia="Times New Roman" w:hAnsi="Times New Roman"/>
          <w:sz w:val="24"/>
          <w:szCs w:val="24"/>
        </w:rPr>
        <w:t xml:space="preserve">The Controller shall bear its own costs in connection with any audit, unless the audit reveals material non-compliance by the Processor.</w:t>
      </w:r>
    </w:p>
    <w:p>
      <w:pPr>
        <w:pStyle w:val="Heading1"/>
        <w:spacing w:after="200" w:before="360"/>
      </w:pPr>
      <w:r>
        <w:rPr>
          <w:rFonts w:ascii="Times New Roman" w:cs="Times New Roman" w:eastAsia="Times New Roman" w:hAnsi="Times New Roman"/>
          <w:b/>
          <w:bCs/>
          <w:sz w:val="28"/>
          <w:szCs w:val="28"/>
        </w:rPr>
        <w:t xml:space="preserve">ARTICLE 7: TERM AND TERMINATION</w:t>
      </w:r>
    </w:p>
    <w:p>
      <w:pPr>
        <w:spacing w:after="200"/>
        <w:jc w:val="both"/>
      </w:pPr>
      <w:r>
        <w:rPr>
          <w:rFonts w:ascii="Times New Roman" w:cs="Times New Roman" w:eastAsia="Times New Roman" w:hAnsi="Times New Roman"/>
          <w:b/>
          <w:bCs/>
          <w:sz w:val="24"/>
          <w:szCs w:val="24"/>
        </w:rPr>
        <w:t xml:space="preserve">7.1 </w:t>
      </w:r>
      <w:r>
        <w:rPr>
          <w:rFonts w:ascii="Times New Roman" w:cs="Times New Roman" w:eastAsia="Times New Roman" w:hAnsi="Times New Roman"/>
          <w:sz w:val="24"/>
          <w:szCs w:val="24"/>
        </w:rPr>
        <w:t xml:space="preserve">This DPA shall remain in effect for the duration of the Principal Agreement and for so long as the Processor processes Personal Data on behalf of the Controller.</w:t>
      </w:r>
    </w:p>
    <w:p>
      <w:pPr>
        <w:spacing w:after="200"/>
        <w:jc w:val="both"/>
      </w:pPr>
      <w:r>
        <w:rPr>
          <w:rFonts w:ascii="Times New Roman" w:cs="Times New Roman" w:eastAsia="Times New Roman" w:hAnsi="Times New Roman"/>
          <w:b/>
          <w:bCs/>
          <w:sz w:val="24"/>
          <w:szCs w:val="24"/>
        </w:rPr>
        <w:t xml:space="preserve">7.2 </w:t>
      </w:r>
      <w:r>
        <w:rPr>
          <w:rFonts w:ascii="Times New Roman" w:cs="Times New Roman" w:eastAsia="Times New Roman" w:hAnsi="Times New Roman"/>
          <w:sz w:val="24"/>
          <w:szCs w:val="24"/>
        </w:rPr>
        <w:t xml:space="preserve">Upon termination of the Principal Agreement, the Processor shall, at the Controller’s election, delete or return all Personal Data within thirty (30) days and provide written certification of deletion upon request.</w:t>
      </w:r>
    </w:p>
    <w:p>
      <w:pPr>
        <w:spacing w:after="200"/>
        <w:jc w:val="both"/>
      </w:pPr>
      <w:r>
        <w:rPr>
          <w:rFonts w:ascii="Times New Roman" w:cs="Times New Roman" w:eastAsia="Times New Roman" w:hAnsi="Times New Roman"/>
          <w:b/>
          <w:bCs/>
          <w:sz w:val="24"/>
          <w:szCs w:val="24"/>
        </w:rPr>
        <w:t xml:space="preserve">7.3 </w:t>
      </w:r>
      <w:r>
        <w:rPr>
          <w:rFonts w:ascii="Times New Roman" w:cs="Times New Roman" w:eastAsia="Times New Roman" w:hAnsi="Times New Roman"/>
          <w:sz w:val="24"/>
          <w:szCs w:val="24"/>
        </w:rPr>
        <w:t xml:space="preserve">The obligations and rights under this DPA that by their nature should survive termination shall survive, including without limitation confidentiality obligations, audit rights for the period of data retention, and indemnification obligations.</w:t>
      </w:r>
    </w:p>
    <w:p>
      <w:pPr>
        <w:pStyle w:val="Heading1"/>
        <w:spacing w:after="200" w:before="360"/>
      </w:pPr>
      <w:r>
        <w:rPr>
          <w:rFonts w:ascii="Times New Roman" w:cs="Times New Roman" w:eastAsia="Times New Roman" w:hAnsi="Times New Roman"/>
          <w:b/>
          <w:bCs/>
          <w:sz w:val="28"/>
          <w:szCs w:val="28"/>
        </w:rPr>
        <w:t xml:space="preserve">ARTICLE 8: MISCELLANEOUS</w:t>
      </w:r>
    </w:p>
    <w:p>
      <w:pPr>
        <w:spacing w:after="200"/>
        <w:jc w:val="both"/>
      </w:pPr>
      <w:r>
        <w:rPr>
          <w:rFonts w:ascii="Times New Roman" w:cs="Times New Roman" w:eastAsia="Times New Roman" w:hAnsi="Times New Roman"/>
          <w:b/>
          <w:bCs/>
          <w:sz w:val="24"/>
          <w:szCs w:val="24"/>
        </w:rPr>
        <w:t xml:space="preserve">8.1 </w:t>
      </w:r>
      <w:r>
        <w:rPr>
          <w:rFonts w:ascii="Times New Roman" w:cs="Times New Roman" w:eastAsia="Times New Roman" w:hAnsi="Times New Roman"/>
          <w:b/>
          <w:bCs/>
          <w:sz w:val="24"/>
          <w:szCs w:val="24"/>
        </w:rPr>
        <w:t xml:space="preserve">Governing Law. </w:t>
      </w:r>
      <w:r>
        <w:rPr>
          <w:rFonts w:ascii="Times New Roman" w:cs="Times New Roman" w:eastAsia="Times New Roman" w:hAnsi="Times New Roman"/>
          <w:sz w:val="24"/>
          <w:szCs w:val="24"/>
        </w:rPr>
        <w:t xml:space="preserve">This DPA shall be governed by the laws applicable to the Principal Agreement, without prejudice to the mandatory applicability of the GDPR.</w:t>
      </w:r>
    </w:p>
    <w:p>
      <w:pPr>
        <w:spacing w:after="200"/>
        <w:jc w:val="both"/>
      </w:pPr>
      <w:r>
        <w:rPr>
          <w:rFonts w:ascii="Times New Roman" w:cs="Times New Roman" w:eastAsia="Times New Roman" w:hAnsi="Times New Roman"/>
          <w:b/>
          <w:bCs/>
          <w:sz w:val="24"/>
          <w:szCs w:val="24"/>
        </w:rPr>
        <w:t xml:space="preserve">8.2 </w:t>
      </w:r>
      <w:r>
        <w:rPr>
          <w:rFonts w:ascii="Times New Roman" w:cs="Times New Roman" w:eastAsia="Times New Roman" w:hAnsi="Times New Roman"/>
          <w:b/>
          <w:bCs/>
          <w:sz w:val="24"/>
          <w:szCs w:val="24"/>
        </w:rPr>
        <w:t xml:space="preserve">Conflict. </w:t>
      </w:r>
      <w:r>
        <w:rPr>
          <w:rFonts w:ascii="Times New Roman" w:cs="Times New Roman" w:eastAsia="Times New Roman" w:hAnsi="Times New Roman"/>
          <w:sz w:val="24"/>
          <w:szCs w:val="24"/>
        </w:rPr>
        <w:t xml:space="preserve">In the event of a conflict between this DPA and the Principal Agreement, this DPA shall prevail with respect to the Processing of Personal Data.</w:t>
      </w:r>
    </w:p>
    <w:p>
      <w:pPr>
        <w:spacing w:after="200"/>
        <w:jc w:val="both"/>
      </w:pPr>
      <w:r>
        <w:rPr>
          <w:rFonts w:ascii="Times New Roman" w:cs="Times New Roman" w:eastAsia="Times New Roman" w:hAnsi="Times New Roman"/>
          <w:b/>
          <w:bCs/>
          <w:sz w:val="24"/>
          <w:szCs w:val="24"/>
        </w:rPr>
        <w:t xml:space="preserve">8.3 </w:t>
      </w:r>
      <w:r>
        <w:rPr>
          <w:rFonts w:ascii="Times New Roman" w:cs="Times New Roman" w:eastAsia="Times New Roman" w:hAnsi="Times New Roman"/>
          <w:b/>
          <w:bCs/>
          <w:sz w:val="24"/>
          <w:szCs w:val="24"/>
        </w:rPr>
        <w:t xml:space="preserve">Amendment. </w:t>
      </w:r>
      <w:r>
        <w:rPr>
          <w:rFonts w:ascii="Times New Roman" w:cs="Times New Roman" w:eastAsia="Times New Roman" w:hAnsi="Times New Roman"/>
          <w:sz w:val="24"/>
          <w:szCs w:val="24"/>
        </w:rPr>
        <w:t xml:space="preserve">This DPA may only be amended in writing signed by both Parties.</w:t>
      </w:r>
    </w:p>
    <w:p>
      <w:pPr>
        <w:spacing w:after="200"/>
        <w:jc w:val="both"/>
      </w:pPr>
      <w:r>
        <w:rPr>
          <w:rFonts w:ascii="Times New Roman" w:cs="Times New Roman" w:eastAsia="Times New Roman" w:hAnsi="Times New Roman"/>
          <w:b/>
          <w:bCs/>
          <w:sz w:val="24"/>
          <w:szCs w:val="24"/>
        </w:rPr>
        <w:t xml:space="preserve">8.4 </w:t>
      </w:r>
      <w:r>
        <w:rPr>
          <w:rFonts w:ascii="Times New Roman" w:cs="Times New Roman" w:eastAsia="Times New Roman" w:hAnsi="Times New Roman"/>
          <w:b/>
          <w:bCs/>
          <w:sz w:val="24"/>
          <w:szCs w:val="24"/>
        </w:rPr>
        <w:t xml:space="preserve">Severability. </w:t>
      </w:r>
      <w:r>
        <w:rPr>
          <w:rFonts w:ascii="Times New Roman" w:cs="Times New Roman" w:eastAsia="Times New Roman" w:hAnsi="Times New Roman"/>
          <w:sz w:val="24"/>
          <w:szCs w:val="24"/>
        </w:rPr>
        <w:t xml:space="preserve">If any provision of this DPA is found to be invalid or unenforceable, the remaining provisions shall remain in full force and effect.</w:t>
      </w:r>
    </w:p>
    <w:p>
      <w:pPr>
        <w:spacing w:after="400" w:before="600"/>
      </w:pPr>
      <w:r>
        <w:rPr>
          <w:rFonts w:ascii="Times New Roman" w:cs="Times New Roman" w:eastAsia="Times New Roman" w:hAnsi="Times New Roman"/>
          <w:b/>
          <w:bCs/>
          <w:sz w:val="24"/>
          <w:szCs w:val="24"/>
        </w:rPr>
        <w:t xml:space="preserve">IN WITNESS WHEREOF, the Parties have executed this Data Processing Agreement as of the date first written above.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none"/>
              <w:right w:val="none"/>
            </w:tcBorders>
          </w:tcPr>
          <w:p>
            <w:pPr>
              <w:spacing w:after="200"/>
            </w:pPr>
            <w:r>
              <w:rPr>
                <w:rFonts w:ascii="Times New Roman" w:cs="Times New Roman" w:eastAsia="Times New Roman" w:hAnsi="Times New Roman"/>
                <w:b/>
                <w:bCs/>
                <w:sz w:val="24"/>
                <w:szCs w:val="24"/>
              </w:rPr>
              <w:t xml:space="preserve">DATA CONTROLLER:</w:t>
            </w:r>
          </w:p>
          <w:p>
            <w:pPr>
              <w:spacing w:after="80"/>
            </w:pPr>
            <w:r>
              <w:rPr>
                <w:rFonts w:ascii="Times New Roman" w:cs="Times New Roman" w:eastAsia="Times New Roman" w:hAnsi="Times New Roman"/>
                <w:b w:val="false"/>
                <w:bCs w:val="false"/>
                <w:sz w:val="24"/>
                <w:szCs w:val="24"/>
              </w:rPr>
              <w:t xml:space="preserve"/>
            </w:r>
          </w:p>
          <w:p>
            <w:pPr>
              <w:spacing w:after="80"/>
            </w:pPr>
            <w:r>
              <w:rPr>
                <w:rFonts w:ascii="Times New Roman" w:cs="Times New Roman" w:eastAsia="Times New Roman" w:hAnsi="Times New Roman"/>
                <w:b w:val="false"/>
                <w:bCs w:val="false"/>
                <w:sz w:val="24"/>
                <w:szCs w:val="24"/>
              </w:rPr>
              <w:t xml:space="preserve">Signature: _________________________________</w:t>
            </w:r>
          </w:p>
          <w:p>
            <w:pPr>
              <w:spacing w:after="80"/>
            </w:pPr>
            <w:r>
              <w:rPr>
                <w:rFonts w:ascii="Times New Roman" w:cs="Times New Roman" w:eastAsia="Times New Roman" w:hAnsi="Times New Roman"/>
                <w:b w:val="false"/>
                <w:bCs w:val="false"/>
                <w:sz w:val="24"/>
                <w:szCs w:val="24"/>
              </w:rPr>
              <w:t xml:space="preserve"/>
            </w:r>
          </w:p>
          <w:p>
            <w:pPr>
              <w:spacing w:after="80"/>
            </w:pPr>
            <w:r>
              <w:rPr>
                <w:rFonts w:ascii="Times New Roman" w:cs="Times New Roman" w:eastAsia="Times New Roman" w:hAnsi="Times New Roman"/>
                <w:b w:val="false"/>
                <w:bCs w:val="false"/>
                <w:sz w:val="24"/>
                <w:szCs w:val="24"/>
              </w:rPr>
              <w:t xml:space="preserve">Printed Name: ______________________________</w:t>
            </w:r>
          </w:p>
          <w:p>
            <w:pPr>
              <w:spacing w:after="80"/>
            </w:pPr>
            <w:r>
              <w:rPr>
                <w:rFonts w:ascii="Times New Roman" w:cs="Times New Roman" w:eastAsia="Times New Roman" w:hAnsi="Times New Roman"/>
                <w:b w:val="false"/>
                <w:bCs w:val="false"/>
                <w:sz w:val="24"/>
                <w:szCs w:val="24"/>
              </w:rPr>
              <w:t xml:space="preserve"/>
            </w:r>
          </w:p>
          <w:p>
            <w:pPr>
              <w:spacing w:after="80"/>
            </w:pPr>
            <w:r>
              <w:rPr>
                <w:rFonts w:ascii="Times New Roman" w:cs="Times New Roman" w:eastAsia="Times New Roman" w:hAnsi="Times New Roman"/>
                <w:b w:val="false"/>
                <w:bCs w:val="false"/>
                <w:sz w:val="24"/>
                <w:szCs w:val="24"/>
              </w:rPr>
              <w:t xml:space="preserve">Title: _____________________________________</w:t>
            </w:r>
          </w:p>
          <w:p>
            <w:pPr>
              <w:spacing w:after="80"/>
            </w:pPr>
            <w:r>
              <w:rPr>
                <w:rFonts w:ascii="Times New Roman" w:cs="Times New Roman" w:eastAsia="Times New Roman" w:hAnsi="Times New Roman"/>
                <w:b w:val="false"/>
                <w:bCs w:val="false"/>
                <w:sz w:val="24"/>
                <w:szCs w:val="24"/>
              </w:rPr>
              <w:t xml:space="preserve"/>
            </w:r>
          </w:p>
          <w:p>
            <w:pPr>
              <w:spacing w:after="80"/>
            </w:pPr>
            <w:r>
              <w:rPr>
                <w:rFonts w:ascii="Times New Roman" w:cs="Times New Roman" w:eastAsia="Times New Roman" w:hAnsi="Times New Roman"/>
                <w:b w:val="false"/>
                <w:bCs w:val="false"/>
                <w:sz w:val="24"/>
                <w:szCs w:val="24"/>
              </w:rPr>
              <w:t xml:space="preserve">Date: ______________________________________</w:t>
            </w:r>
          </w:p>
        </w:tc>
        <w:tc>
          <w:tcPr>
            <w:tcW w:type="dxa" w:w="4680"/>
            <w:tcBorders>
              <w:top w:val="none"/>
              <w:left w:val="none"/>
              <w:bottom w:val="none"/>
              <w:right w:val="none"/>
            </w:tcBorders>
          </w:tcPr>
          <w:p>
            <w:pPr>
              <w:spacing w:after="200"/>
            </w:pPr>
            <w:r>
              <w:rPr>
                <w:rFonts w:ascii="Times New Roman" w:cs="Times New Roman" w:eastAsia="Times New Roman" w:hAnsi="Times New Roman"/>
                <w:b/>
                <w:bCs/>
                <w:sz w:val="24"/>
                <w:szCs w:val="24"/>
              </w:rPr>
              <w:t xml:space="preserve">DATA PROCESSOR:
Opslytica, Inc.</w:t>
            </w:r>
          </w:p>
          <w:p>
            <w:pPr>
              <w:spacing w:after="80"/>
            </w:pPr>
            <w:r>
              <w:rPr>
                <w:rFonts w:ascii="Times New Roman" w:cs="Times New Roman" w:eastAsia="Times New Roman" w:hAnsi="Times New Roman"/>
                <w:b w:val="false"/>
                <w:bCs w:val="false"/>
                <w:sz w:val="24"/>
                <w:szCs w:val="24"/>
              </w:rPr>
              <w:t xml:space="preserve"/>
            </w:r>
          </w:p>
          <w:p>
            <w:pPr>
              <w:spacing w:after="80"/>
            </w:pPr>
            <w:r>
              <w:rPr>
                <w:rFonts w:ascii="Times New Roman" w:cs="Times New Roman" w:eastAsia="Times New Roman" w:hAnsi="Times New Roman"/>
                <w:b w:val="false"/>
                <w:bCs w:val="false"/>
                <w:sz w:val="24"/>
                <w:szCs w:val="24"/>
              </w:rPr>
              <w:t xml:space="preserve">Signature: _________________________________</w:t>
            </w:r>
          </w:p>
          <w:p>
            <w:pPr>
              <w:spacing w:after="80"/>
            </w:pPr>
            <w:r>
              <w:rPr>
                <w:rFonts w:ascii="Times New Roman" w:cs="Times New Roman" w:eastAsia="Times New Roman" w:hAnsi="Times New Roman"/>
                <w:b w:val="false"/>
                <w:bCs w:val="false"/>
                <w:sz w:val="24"/>
                <w:szCs w:val="24"/>
              </w:rPr>
              <w:t xml:space="preserve"/>
            </w:r>
          </w:p>
          <w:p>
            <w:pPr>
              <w:spacing w:after="80"/>
            </w:pPr>
            <w:r>
              <w:rPr>
                <w:rFonts w:ascii="Times New Roman" w:cs="Times New Roman" w:eastAsia="Times New Roman" w:hAnsi="Times New Roman"/>
                <w:b w:val="false"/>
                <w:bCs w:val="false"/>
                <w:sz w:val="24"/>
                <w:szCs w:val="24"/>
              </w:rPr>
              <w:t xml:space="preserve">Printed Name: ______________________________</w:t>
            </w:r>
          </w:p>
          <w:p>
            <w:pPr>
              <w:spacing w:after="80"/>
            </w:pPr>
            <w:r>
              <w:rPr>
                <w:rFonts w:ascii="Times New Roman" w:cs="Times New Roman" w:eastAsia="Times New Roman" w:hAnsi="Times New Roman"/>
                <w:b w:val="false"/>
                <w:bCs w:val="false"/>
                <w:sz w:val="24"/>
                <w:szCs w:val="24"/>
              </w:rPr>
              <w:t xml:space="preserve"/>
            </w:r>
          </w:p>
          <w:p>
            <w:pPr>
              <w:spacing w:after="80"/>
            </w:pPr>
            <w:r>
              <w:rPr>
                <w:rFonts w:ascii="Times New Roman" w:cs="Times New Roman" w:eastAsia="Times New Roman" w:hAnsi="Times New Roman"/>
                <w:b w:val="false"/>
                <w:bCs w:val="false"/>
                <w:sz w:val="24"/>
                <w:szCs w:val="24"/>
              </w:rPr>
              <w:t xml:space="preserve">Title: _____________________________________</w:t>
            </w:r>
          </w:p>
          <w:p>
            <w:pPr>
              <w:spacing w:after="80"/>
            </w:pPr>
            <w:r>
              <w:rPr>
                <w:rFonts w:ascii="Times New Roman" w:cs="Times New Roman" w:eastAsia="Times New Roman" w:hAnsi="Times New Roman"/>
                <w:b w:val="false"/>
                <w:bCs w:val="false"/>
                <w:sz w:val="24"/>
                <w:szCs w:val="24"/>
              </w:rPr>
              <w:t xml:space="preserve"/>
            </w:r>
          </w:p>
          <w:p>
            <w:pPr>
              <w:spacing w:after="80"/>
            </w:pPr>
            <w:r>
              <w:rPr>
                <w:rFonts w:ascii="Times New Roman" w:cs="Times New Roman" w:eastAsia="Times New Roman" w:hAnsi="Times New Roman"/>
                <w:b w:val="false"/>
                <w:bCs w:val="false"/>
                <w:sz w:val="24"/>
                <w:szCs w:val="24"/>
              </w:rPr>
              <w:t xml:space="preserve">Date: ______________________________________</w:t>
            </w:r>
          </w:p>
        </w:tc>
      </w:tr>
    </w:tbl>
    <w:p>
      <w:r>
        <w:br w:type="page"/>
      </w:r>
    </w:p>
    <w:p>
      <w:pPr>
        <w:spacing w:after="400"/>
        <w:jc w:val="center"/>
      </w:pPr>
      <w:r>
        <w:rPr>
          <w:rFonts w:ascii="Times New Roman" w:cs="Times New Roman" w:eastAsia="Times New Roman" w:hAnsi="Times New Roman"/>
          <w:b/>
          <w:bCs/>
          <w:sz w:val="28"/>
          <w:szCs w:val="28"/>
        </w:rPr>
        <w:t xml:space="preserve">ANNEX 1: DETAILS OF PROCESSING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Times New Roman" w:cs="Times New Roman" w:eastAsia="Times New Roman" w:hAnsi="Times New Roman"/>
                <w:b/>
                <w:bCs/>
                <w:color w:val="FFFFFF"/>
                <w:sz w:val="22"/>
                <w:szCs w:val="22"/>
              </w:rPr>
              <w:t xml:space="preserve">Category</w:t>
            </w:r>
          </w:p>
        </w:tc>
        <w:tc>
          <w:tcPr>
            <w:tcW w:type="dxa" w:w="624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Times New Roman" w:cs="Times New Roman" w:eastAsia="Times New Roman" w:hAnsi="Times New Roman"/>
                <w:b/>
                <w:bCs/>
                <w:color w:val="FFFFFF"/>
                <w:sz w:val="22"/>
                <w:szCs w:val="22"/>
              </w:rPr>
              <w:t xml:space="preserve">Details</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Subject Matter of Processing</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Provision of the Opslytica operational intelligence platform, including data ingestion, analysis, and visualization of operational metrics.</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Duration of Processing</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For the term of the Principal Agreement plus 30 days for data deletion.</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Nature of Processing</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Collection, storage, analysis, and visualization of de-identified operational metrics. Automated processing for dashboards and reporting.</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Purpose of Processing</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To provide operational intelligence services including metric tracking, SLA monitoring, workflow analysis, and performance reporting.</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Categories of Data Subjects</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Individuals whose operational activities generate the metrics processed (e.g., employees of the Controller whose work generates cycle time and case count data). Note: Data is de-identified before processing.</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Types of Personal Data</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De-identified operational metrics: cycle times, SLA compliance rates, case counts, workflow performance data, timestamps. Opslytica does not receive or process directly identifying personal data or PHI.</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Retention Period</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As specified in the Principal Agreement. Data deleted within 30 days of contract termination upon request.</w:t>
            </w:r>
          </w:p>
        </w:tc>
      </w:tr>
    </w:tbl>
    <w:p>
      <w:r>
        <w:br w:type="page"/>
      </w:r>
    </w:p>
    <w:p>
      <w:pPr>
        <w:spacing w:after="400"/>
        <w:jc w:val="center"/>
      </w:pPr>
      <w:r>
        <w:rPr>
          <w:rFonts w:ascii="Times New Roman" w:cs="Times New Roman" w:eastAsia="Times New Roman" w:hAnsi="Times New Roman"/>
          <w:b/>
          <w:bCs/>
          <w:sz w:val="28"/>
          <w:szCs w:val="28"/>
        </w:rPr>
        <w:t xml:space="preserve">ANNEX 2: TECHNICAL AND ORGANIZATIONAL MEASURES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Times New Roman" w:cs="Times New Roman" w:eastAsia="Times New Roman" w:hAnsi="Times New Roman"/>
                <w:b/>
                <w:bCs/>
                <w:color w:val="FFFFFF"/>
                <w:sz w:val="22"/>
                <w:szCs w:val="22"/>
              </w:rPr>
              <w:t xml:space="preserve">Measure</w:t>
            </w:r>
          </w:p>
        </w:tc>
        <w:tc>
          <w:tcPr>
            <w:tcW w:type="dxa" w:w="624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Times New Roman" w:cs="Times New Roman" w:eastAsia="Times New Roman" w:hAnsi="Times New Roman"/>
                <w:b/>
                <w:bCs/>
                <w:color w:val="FFFFFF"/>
                <w:sz w:val="22"/>
                <w:szCs w:val="22"/>
              </w:rPr>
              <w:t xml:space="preserve">Description</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Encryption at Rest</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AES-256 encryption via Azure SQL Transparent Data Encryption for all customer data.</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Encryption in Transit</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TLS 1.3 enforced on all connections. HSTS enabled. Older TLS versions disabled.</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Access Control</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Role-based access control (Admin, Manager, Viewer). Least-privilege principle. API keys SHA-256 hashed, scoped, expirable, and revocable.</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Authentication</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Multi-factor authentication configurable per organization. SSO supported (SAML 2.0, OAuth 2.0).</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Network Security</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Azure WAF with OWASP Top 10 rule sets. VNet isolation. Network Security Groups. DDoS protection.</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Monitoring &amp; Logging</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Centralized logging of all API access, authentication events, and administrative actions. Real-time alerting on anomalous activity. 90-day minimum log retention.</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Vulnerability Management</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Automated vulnerability scanning. Annual third-party penetration testing. Remediation SLAs: Critical 24h, High 72h.</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Business Continuity</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Geo-redundant Azure deployment. Automated daily backups with 35-day retention. RTO: 4 hours, RPO: 1 hour.</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Personnel Security</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Background checks for all employees. Annual security awareness training. NDAs required. Onboarding/offboarding within 24 hours.</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Incident Response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Documented incident response plan with severity levels and escalation paths. Post-incident reviews. 72-hour breach notification.</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Data Isolation</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Logical tenant isolation at the database level. No cross-tenant data access.</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Certifications</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SOC 2 Type II audited annually. HIPAA BAA available. Annual penetration testing.</w:t>
            </w:r>
          </w:p>
        </w:tc>
      </w:tr>
    </w:tbl>
    <w:p>
      <w:r>
        <w:br w:type="page"/>
      </w:r>
    </w:p>
    <w:p>
      <w:pPr>
        <w:spacing w:after="400"/>
        <w:jc w:val="center"/>
      </w:pPr>
      <w:r>
        <w:rPr>
          <w:rFonts w:ascii="Times New Roman" w:cs="Times New Roman" w:eastAsia="Times New Roman" w:hAnsi="Times New Roman"/>
          <w:b/>
          <w:bCs/>
          <w:sz w:val="28"/>
          <w:szCs w:val="28"/>
        </w:rPr>
        <w:t xml:space="preserve">ANNEX 3: LIST OF SUB-PROCESSORS</w:t>
      </w:r>
    </w:p>
    <w:p>
      <w:pPr>
        <w:spacing w:after="200"/>
        <w:jc w:val="both"/>
      </w:pPr>
      <w:r>
        <w:rPr>
          <w:rFonts w:ascii="Times New Roman" w:cs="Times New Roman" w:eastAsia="Times New Roman" w:hAnsi="Times New Roman"/>
          <w:b w:val="false"/>
          <w:bCs w:val="false"/>
          <w:i w:val="false"/>
          <w:iCs w:val="false"/>
          <w:sz w:val="24"/>
          <w:szCs w:val="24"/>
        </w:rPr>
        <w:t xml:space="preserve">The following sub-processors are authorized by the Controller as of the Effective Date: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500"/>
        <w:gridCol w:w="2500"/>
        <w:gridCol w:w="2360"/>
      </w:tblGrid>
      <w:tr>
        <w:tc>
          <w:tcPr>
            <w:tcW w:type="dxa" w:w="20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Times New Roman" w:cs="Times New Roman" w:eastAsia="Times New Roman" w:hAnsi="Times New Roman"/>
                <w:b/>
                <w:bCs/>
                <w:color w:val="FFFFFF"/>
                <w:sz w:val="22"/>
                <w:szCs w:val="22"/>
              </w:rPr>
              <w:t xml:space="preserve">Sub-processor</w:t>
            </w:r>
          </w:p>
        </w:tc>
        <w:tc>
          <w:tcPr>
            <w:tcW w:type="dxa" w:w="25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Times New Roman" w:cs="Times New Roman" w:eastAsia="Times New Roman" w:hAnsi="Times New Roman"/>
                <w:b/>
                <w:bCs/>
                <w:color w:val="FFFFFF"/>
                <w:sz w:val="22"/>
                <w:szCs w:val="22"/>
              </w:rPr>
              <w:t xml:space="preserve">Purpose</w:t>
            </w:r>
          </w:p>
        </w:tc>
        <w:tc>
          <w:tcPr>
            <w:tcW w:type="dxa" w:w="25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Times New Roman" w:cs="Times New Roman" w:eastAsia="Times New Roman" w:hAnsi="Times New Roman"/>
                <w:b/>
                <w:bCs/>
                <w:color w:val="FFFFFF"/>
                <w:sz w:val="22"/>
                <w:szCs w:val="22"/>
              </w:rPr>
              <w:t xml:space="preserve">Location</w:t>
            </w:r>
          </w:p>
        </w:tc>
        <w:tc>
          <w:tcPr>
            <w:tcW w:type="dxa" w:w="23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Times New Roman" w:cs="Times New Roman" w:eastAsia="Times New Roman" w:hAnsi="Times New Roman"/>
                <w:b/>
                <w:bCs/>
                <w:color w:val="FFFFFF"/>
                <w:sz w:val="22"/>
                <w:szCs w:val="22"/>
              </w:rPr>
              <w:t xml:space="preserve">Data Processed</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bCs/>
                <w:sz w:val="22"/>
                <w:szCs w:val="22"/>
              </w:rPr>
              <w:t xml:space="preserve">Microsoft Azure</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Cloud hosting and infrastructure</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Configurable per customer (US, EU, other Azure regions)</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All customer operational data (encrypted at rest and in transit)</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bCs/>
                <w:sz w:val="22"/>
                <w:szCs w:val="22"/>
              </w:rPr>
              <w:t xml:space="preserve">SendGrid (Twilio)</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Transactional email delivery</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United States</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Email addresses for system notifications only. No customer operational data.</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bCs/>
                <w:sz w:val="22"/>
                <w:szCs w:val="22"/>
              </w:rPr>
              <w:t xml:space="preserve">Stripe</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Payment processing</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United States</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b w:val="false"/>
                <w:bCs w:val="false"/>
                <w:sz w:val="22"/>
                <w:szCs w:val="22"/>
              </w:rPr>
              <w:t xml:space="preserve">Billing information only. No customer operational data.</w:t>
            </w:r>
          </w:p>
        </w:tc>
      </w:tr>
    </w:tbl>
    <w:p>
      <w:pPr>
        <w:spacing w:before="400"/>
      </w:pPr>
      <w:r>
        <w:rPr>
          <w:rFonts w:ascii="Times New Roman" w:cs="Times New Roman" w:eastAsia="Times New Roman" w:hAnsi="Times New Roman"/>
          <w:i/>
          <w:iCs/>
          <w:sz w:val="22"/>
          <w:szCs w:val="22"/>
        </w:rPr>
        <w:t xml:space="preserve">The Processor shall provide at least thirty (30) days advance written notice before engaging any new sub-processor, allowing the Controller to object.</w:t>
      </w:r>
    </w:p>
    <w:p>
      <w:pPr>
        <w:pBdr>
          <w:top w:val="single" w:color="CCCCCC" w:sz="1" w:space="8"/>
        </w:pBdr>
        <w:spacing w:before="800"/>
      </w:pPr>
    </w:p>
    <w:p>
      <w:pPr>
        <w:spacing w:after="200"/>
        <w:jc w:val="center"/>
      </w:pPr>
      <w:r>
        <w:rPr>
          <w:rFonts w:ascii="Times New Roman" w:cs="Times New Roman" w:eastAsia="Times New Roman" w:hAnsi="Times New Roman"/>
          <w:i/>
          <w:iCs/>
          <w:color w:val="888888"/>
          <w:sz w:val="20"/>
          <w:szCs w:val="20"/>
        </w:rPr>
        <w:t xml:space="preserve">NOTICE: This is a template document provided for informational purposes. It does not constitute legal advice. Both parties should consult with qualified legal counsel before executing this agreement.</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1" w:space="4"/>
      </w:pBdr>
      <w:spacing w:before="200"/>
      <w:jc w:val="center"/>
    </w:pPr>
    <w:r>
      <w:rPr>
        <w:rFonts w:ascii="Times New Roman" w:cs="Times New Roman" w:eastAsia="Times New Roman" w:hAnsi="Times New Roman"/>
        <w:color w:val="888888"/>
        <w:sz w:val="18"/>
        <w:szCs w:val="18"/>
      </w:rPr>
      <w:t xml:space="preserve">Page </w:t>
    </w:r>
    <w:r>
      <w:rPr>
        <w:rFonts w:ascii="Times New Roman" w:cs="Times New Roman" w:eastAsia="Times New Roman" w:hAnsi="Times New Roman"/>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Times New Roman" w:cs="Times New Roman" w:eastAsia="Times New Roman" w:hAnsi="Times New Roman"/>
        <w:i/>
        <w:iCs/>
        <w:color w:val="888888"/>
        <w:sz w:val="18"/>
        <w:szCs w:val="18"/>
      </w:rPr>
      <w:t xml:space="preserve">Data Processing Agreement — Opslytica, Inc.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10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Times New Roman" w:cs="Times New Roman" w:eastAsia="Times New Roman" w:hAnsi="Times New Roman"/>
      <w:b/>
      <w:bCs/>
      <w:sz w:val="28"/>
      <w:szCs w:val="28"/>
    </w:rPr>
  </w:style>
  <w:style w:type="paragraph" w:styleId="Heading2">
    <w:name w:val="Heading 2"/>
    <w:basedOn w:val="Normal"/>
    <w:next w:val="Normal"/>
    <w:qFormat/>
    <w:pPr>
      <w:spacing w:after="160" w:before="240"/>
      <w:outlineLvl w:val="1"/>
    </w:pPr>
    <w:rPr>
      <w:rFonts w:ascii="Times New Roman" w:cs="Times New Roman" w:eastAsia="Times New Roman" w:hAnsi="Times New Roman"/>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2026-03-26T00:42:59.181Z</dcterms:created>
  <dcterms:modified xsi:type="dcterms:W3CDTF">2026-03-26T00:42:59.182Z</dcterms:modified>
</cp:coreProperties>
</file>

<file path=docProps/custom.xml><?xml version="1.0" encoding="utf-8"?>
<Properties xmlns="http://schemas.openxmlformats.org/officeDocument/2006/custom-properties" xmlns:vt="http://schemas.openxmlformats.org/officeDocument/2006/docPropsVTypes"/>
</file>